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2169">
      <w:pPr>
        <w:pStyle w:val="ConsPlusNormal"/>
        <w:jc w:val="both"/>
        <w:outlineLvl w:val="0"/>
      </w:pPr>
      <w:bookmarkStart w:id="0" w:name="_GoBack"/>
      <w:bookmarkEnd w:id="0"/>
    </w:p>
    <w:p w:rsidR="00000000" w:rsidRDefault="00392169">
      <w:pPr>
        <w:pStyle w:val="ConsPlusTitle"/>
        <w:jc w:val="center"/>
      </w:pPr>
      <w:r>
        <w:t>МИНИСТЕРСТВО ТРАНСПОРТА РОССИЙСКОЙ ФЕДЕРАЦИИ</w:t>
      </w:r>
    </w:p>
    <w:p w:rsidR="00000000" w:rsidRDefault="00392169">
      <w:pPr>
        <w:pStyle w:val="ConsPlusTitle"/>
        <w:jc w:val="center"/>
      </w:pPr>
    </w:p>
    <w:p w:rsidR="00000000" w:rsidRDefault="00392169">
      <w:pPr>
        <w:pStyle w:val="ConsPlusTitle"/>
        <w:jc w:val="center"/>
      </w:pPr>
      <w:r>
        <w:t>ПРИКАЗ</w:t>
      </w:r>
    </w:p>
    <w:p w:rsidR="00000000" w:rsidRDefault="00392169">
      <w:pPr>
        <w:pStyle w:val="ConsPlusTitle"/>
        <w:jc w:val="center"/>
      </w:pPr>
      <w:r>
        <w:t>от 23 мая 2024 г. N 182</w:t>
      </w:r>
    </w:p>
    <w:p w:rsidR="00000000" w:rsidRDefault="00392169">
      <w:pPr>
        <w:pStyle w:val="ConsPlusTitle"/>
        <w:jc w:val="center"/>
      </w:pPr>
    </w:p>
    <w:p w:rsidR="00000000" w:rsidRDefault="00392169">
      <w:pPr>
        <w:pStyle w:val="ConsPlusTitle"/>
        <w:jc w:val="center"/>
      </w:pPr>
      <w:r>
        <w:t>ОБ УТВЕРЖДЕНИИ ПРАВИЛ</w:t>
      </w:r>
    </w:p>
    <w:p w:rsidR="00000000" w:rsidRDefault="00392169">
      <w:pPr>
        <w:pStyle w:val="ConsPlusTitle"/>
        <w:jc w:val="center"/>
      </w:pPr>
      <w:r>
        <w:t>ДВИЖЕНИЯ И СТОЯНКИ СУДОВ В АМУРСКОМ БАССЕЙНЕ ВНУТРЕННИХ</w:t>
      </w:r>
    </w:p>
    <w:p w:rsidR="00000000" w:rsidRDefault="00392169">
      <w:pPr>
        <w:pStyle w:val="ConsPlusTitle"/>
        <w:jc w:val="center"/>
      </w:pPr>
      <w:r>
        <w:t>ВОДНЫХ ПУТЕЙ РОССИЙСКОЙ ФЕДЕРАЦИИ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ind w:firstLine="540"/>
        <w:jc w:val="both"/>
      </w:pPr>
      <w:r>
        <w:t>В</w:t>
      </w:r>
      <w:r>
        <w:t xml:space="preserve"> соответствии с </w:t>
      </w:r>
      <w:hyperlink r:id="rId7" w:tooltip="&quot;Кодекс внутреннего водного транспорта Российской Федерации&quot; от 07.03.2001 N 24-ФЗ (ред. от 08.08.2024) (с изм. и доп., вступ. в силу с 01.09.2024){КонсультантПлюс}" w:history="1">
        <w:r>
          <w:rPr>
            <w:color w:val="0000FF"/>
          </w:rPr>
          <w:t>пунктом 3 статьи 34</w:t>
        </w:r>
      </w:hyperlink>
      <w:r>
        <w:t xml:space="preserve"> Кодекса внутреннего водного транспорта Российской Федерации, </w:t>
      </w:r>
      <w:hyperlink r:id="rId8" w:tooltip="Постановление Правительства РФ от 30.07.2004 N 395 (ред. от 05.07.2024) &quot;Об утверждении Положения о Министерстве транспорта Российской Федерации&quot; (с изм. и доп., вступ. в силу с 01.09.2024){КонсультантПлюс}" w:history="1">
        <w:r>
          <w:rPr>
            <w:color w:val="0000FF"/>
          </w:rPr>
          <w:t>абзацем первым пункта 1</w:t>
        </w:r>
      </w:hyperlink>
      <w:r>
        <w:t xml:space="preserve"> и </w:t>
      </w:r>
      <w:hyperlink r:id="rId9" w:tooltip="Постановление Правительства РФ от 30.07.2004 N 395 (ред. от 05.07.2024) &quot;Об утверждении Положения о Министерстве транспорта Российской Федерации&quot; (с изм. и доп., вступ. в силу с 01.09.2024){КонсультантПлюс}" w:history="1">
        <w:r>
          <w:rPr>
            <w:color w:val="0000FF"/>
          </w:rPr>
          <w:t>подпунктом 5.2.11(9)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395, приказываю: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8" w:tooltip="ПРАВИЛА" w:history="1">
        <w:r>
          <w:rPr>
            <w:color w:val="0000FF"/>
          </w:rPr>
          <w:t>Правила</w:t>
        </w:r>
      </w:hyperlink>
      <w:r>
        <w:t xml:space="preserve"> движения и стоянки судов в Амурском бассейне внутренних водных путей Российской Федерации.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2. Настоящий приказ вступает в силу с 1 марта 2025 г. и действует до 1 марта 2031 г.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jc w:val="right"/>
      </w:pPr>
      <w:r>
        <w:t>Министр</w:t>
      </w:r>
    </w:p>
    <w:p w:rsidR="00000000" w:rsidRDefault="00392169">
      <w:pPr>
        <w:pStyle w:val="ConsPlusNormal"/>
        <w:jc w:val="right"/>
      </w:pPr>
      <w:r>
        <w:t>Р.В.СТАРОВОЙТ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jc w:val="right"/>
        <w:outlineLvl w:val="0"/>
      </w:pPr>
      <w:r>
        <w:t>Утверждены</w:t>
      </w:r>
    </w:p>
    <w:p w:rsidR="00000000" w:rsidRDefault="00392169">
      <w:pPr>
        <w:pStyle w:val="ConsPlusNormal"/>
        <w:jc w:val="right"/>
      </w:pPr>
      <w:r>
        <w:t>приказом Минтранса России</w:t>
      </w:r>
    </w:p>
    <w:p w:rsidR="00000000" w:rsidRDefault="00392169">
      <w:pPr>
        <w:pStyle w:val="ConsPlusNormal"/>
        <w:jc w:val="right"/>
      </w:pPr>
      <w:r>
        <w:t>от 23 мая 2024 г. N 182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Title"/>
        <w:jc w:val="center"/>
      </w:pPr>
      <w:bookmarkStart w:id="1" w:name="Par28"/>
      <w:bookmarkEnd w:id="1"/>
      <w:r>
        <w:t>ПРАВИЛА</w:t>
      </w:r>
    </w:p>
    <w:p w:rsidR="00000000" w:rsidRDefault="00392169">
      <w:pPr>
        <w:pStyle w:val="ConsPlusTitle"/>
        <w:jc w:val="center"/>
      </w:pPr>
      <w:r>
        <w:t>ДВИЖЕНИЯ И СТОЯНКИ СУДОВ В АМУРСКОМ БАССЕЙНЕ ВНУТРЕННИХ</w:t>
      </w:r>
    </w:p>
    <w:p w:rsidR="00000000" w:rsidRDefault="00392169">
      <w:pPr>
        <w:pStyle w:val="ConsPlusTitle"/>
        <w:jc w:val="center"/>
      </w:pPr>
      <w:r>
        <w:t>ВОДНЫХ ПУТЕЙ РОССИЙСКОЙ ФЕДЕРАЦИИ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ind w:firstLine="540"/>
        <w:jc w:val="both"/>
      </w:pPr>
      <w:r>
        <w:t>1. Толкаемые и буксируемые составы должны осуществлять движение в соответствии с типовыми схемам</w:t>
      </w:r>
      <w:r>
        <w:t xml:space="preserve">и формирования составов, указанными в </w:t>
      </w:r>
      <w:hyperlink w:anchor="Par145" w:tooltip="ТИПОВЫЕ СХЕМЫ ФОРМИРОВАНИЯ СОСТАВОВ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Движение составов, отличающихся по своим техническим характеристикам от типовых схем формирования составов, указанных в </w:t>
      </w:r>
      <w:hyperlink w:anchor="Par145" w:tooltip="ТИПОВЫЕ СХЕМЫ ФОРМИРОВАНИЯ СОСТАВОВ" w:history="1">
        <w:r>
          <w:rPr>
            <w:color w:val="0000FF"/>
          </w:rPr>
          <w:t>приложении</w:t>
        </w:r>
      </w:hyperlink>
      <w:r>
        <w:t xml:space="preserve"> к настоящим Правилам, должно осуществляться при наличии плана обеспечения безопасности плавания состава в рейсе &lt;1&gt;.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0" w:tooltip="Приказ Минтранса России от 28.08.2020 N 339 &quot;Об утверждении Правил буксировки судов и плавучих объектов на внутреннем водном транспорте&quot; (Зарегистрировано в Минюсте России 21.07.2021 N 64328){КонсультантПлюс}" w:history="1">
        <w:r>
          <w:rPr>
            <w:color w:val="0000FF"/>
          </w:rPr>
          <w:t>Пункт 36</w:t>
        </w:r>
      </w:hyperlink>
      <w:r>
        <w:t xml:space="preserve"> Правил буксировки судов и плавучих объектов на внутреннем водном транспорте, утвержденных приказом Министерства транспорта Российской Федерации от 28 августа 2020 г. N 339 (зарегистрирован Минюстом России </w:t>
      </w:r>
      <w:r>
        <w:t xml:space="preserve">21 июля 2021 г., регистрационный N 64328). В соответствии с </w:t>
      </w:r>
      <w:hyperlink r:id="rId11" w:tooltip="Приказ Минтранса России от 28.08.2020 N 339 &quot;Об утверждении Правил буксировки судов и плавучих объектов на внутреннем водном транспорте&quot; (Зарегистрировано в Минюсте России 21.07.2021 N 64328){КонсультантПлюс}" w:history="1">
        <w:r>
          <w:rPr>
            <w:color w:val="0000FF"/>
          </w:rPr>
          <w:t>пунктом 2</w:t>
        </w:r>
      </w:hyperlink>
      <w:r>
        <w:t xml:space="preserve"> приказа Министерства транспорта Российской Федерации от 28 августа 2020 г. N 339 данный акт действует до 1 января 20</w:t>
      </w:r>
      <w:r>
        <w:t>27 г.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ind w:firstLine="540"/>
        <w:jc w:val="both"/>
      </w:pPr>
      <w:r>
        <w:t xml:space="preserve">При формировании состава судоводителем должна быть обеспечена балластировка барж для </w:t>
      </w:r>
      <w:r>
        <w:lastRenderedPageBreak/>
        <w:t>обеспечения управляемости состава.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2. Границы внутренних водных путей Амурского бассейна внутренних водных путей Российской Федерации (далее - ВВП Амурского бассейн</w:t>
      </w:r>
      <w:r>
        <w:t>а) и информация об особенностях судоходства по рекам Амур и Уссури отображаются на лоцманских картах Верхнего, Среднего и Нижнего Амура, реки Уссури и Амурской протоки.</w:t>
      </w:r>
    </w:p>
    <w:p w:rsidR="00000000" w:rsidRDefault="00392169">
      <w:pPr>
        <w:pStyle w:val="ConsPlusNormal"/>
        <w:spacing w:before="240"/>
        <w:ind w:firstLine="540"/>
        <w:jc w:val="both"/>
      </w:pPr>
      <w:bookmarkStart w:id="2" w:name="Par39"/>
      <w:bookmarkEnd w:id="2"/>
      <w:r>
        <w:t>3. На ВВП Амурского бассейна в границах города Хабаровск должно быть расположено шесть рейдов, обозначенных рейдовыми знаками, и место якорной стоянки: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1) рейд N 1 (карантинный рейд) должен быть расположен в районе 5,0 км по лоцманской карте Среднего Амура</w:t>
      </w:r>
      <w:r>
        <w:t xml:space="preserve"> у левого берега и должен быть предназначен для стоянки судов Китайской Народной Республики в ожидании лоцмана или получения разрешения диспетчера на вход в порт. Верхняя часть рейда N 1 должна быть предназначена для стоянки пассажирских судов, средняя - д</w:t>
      </w:r>
      <w:r>
        <w:t>ля сухогрузных судов, нижняя - для нефтеналивных судов;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2) рейд N 2 должен быть расположен в районе 929,5 - 927,7 км по лоцманской карте Нижнего Амура у левого берега и должен быть предназначен для стоянки иностранных сухогрузных судов и составов;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3) рейд </w:t>
      </w:r>
      <w:r>
        <w:t>N 3 должен быть расположен в районе 927,6 - 926,6 км по лоцманской карте Нижнего Амура у левого берега и должен быть предназначен для стоянки российских сухогрузных судов и составов;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4) рейд N 4 должен быть расположен в районе 926,6 - 926,0 км по лоцманско</w:t>
      </w:r>
      <w:r>
        <w:t>й карте Нижнего Амура у левого берега и должен быть предназначен для стоянки нефтеналивных стояночных судов (бункеровочные станции, суда-сборщики подсланевых вод и отходов с судов);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5) рейд N 5 должен быть расположен в районе 925,3 - 924,4 км по лоцманской</w:t>
      </w:r>
      <w:r>
        <w:t xml:space="preserve"> карте Нижнего Амура у левого берега и должен быть предназначен для стоянки нефтеналивных судов;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6) рейд N 6 (специальный рейд) должен быть расположен в районе 915,6 - 914,6 км по лоцманской карте Нижнего Амура у левобережного острова Малышева и должен быт</w:t>
      </w:r>
      <w:r>
        <w:t>ь предназначен для судов и составов с разрядными грузами и для формирования составов, следующих вниз;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7) место якорной стоянки для пассажирских судов, ожидающих получения разрешения диспетчера на подход к пассажирским причалам речного вокзала, должно быть </w:t>
      </w:r>
      <w:r>
        <w:t>расположено на 930,0 км по лоцманской карте Нижнего Амура у левого берега выше рейда N 2.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4. Движение судов на ВВП Амурского бассейна через Хабаровский железнодорожный мост, расположенный на 921,0 км реки Амур, должно осуществляться через два судоходных пр</w:t>
      </w:r>
      <w:r>
        <w:t>олета (второй и четвертый пролеты от правого берега) шириной по 120 м.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Второй от правого берега пролет предназначается для судов и составов, идущих вниз, высота пролета в пределах судового хода составляет 20,45 м от проектного уровня (-75 см) по опорному в</w:t>
      </w:r>
      <w:r>
        <w:t>одпосту Хабаровск и 13,5 м от расчетного судоходного уровня (+620 см). Четвертый от правого берега пролет предназначается для судов и составов, идущих вверх, высота пролета составляет 20,45 м от проектного уровня (-75 см) по опорному водпосту Хабаровск и 1</w:t>
      </w:r>
      <w:r>
        <w:t>3,5 м от расчетного судоходного уровня (+ 620 см).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Первый и шестой от правого берега пролеты предназначаются для движения маломерных </w:t>
      </w:r>
      <w:r>
        <w:lastRenderedPageBreak/>
        <w:t>судов в обоих направлениях.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5. Движение судов на ВВП Амурского бассейна должно осуществляться под линией электропередач (да</w:t>
      </w:r>
      <w:r>
        <w:t>лее - ЛЭП) 220 кВ, расположенной на участке 920,0 км реки Амур. Высота надводного (воздушного) перехода от максимального уровня воды (+642,0 см) над правым ходом составляет 26,7 м, над левым ходом - 29,0 м.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6. На участке реки Амур в районе города Хабаровск</w:t>
      </w:r>
      <w:r>
        <w:t xml:space="preserve"> (930 км - 921 км по лоцманской карте Нижнего Амура) установлено правостороннее двухполосное движение. Движение судов в акватории Хабаровского речного порта должно осуществляться по судоходным трассам. Суда должны следовать по правой по ходу движения полос</w:t>
      </w:r>
      <w:r>
        <w:t>е, осуществляя расхождение только левыми бортами.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В акватории Хабаровского речного порта не должны подаваться звуковые сигналы, за исключением сигналов бедствия и сигналов для предотвращения аварийной ситуации.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7. Пересечение полос встречного движения и су</w:t>
      </w:r>
      <w:r>
        <w:t>дового хода, места выполнения оборотов судов устанавливаются на траверзе: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1) к пассажирским причалам N N 1 и 2 - буй N 930 (для судов, осуществляющих перевозки в международном сообщении);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2) к пассажирским причалам N N 3 - 5 - выше утеса на 929,5 км реки А</w:t>
      </w:r>
      <w:r>
        <w:t>мур (для судов, осуществляющих перевозки по местным, пригородным, внутригородским маршрутам);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3) 928,5 км реки Амур (для судов, осуществляющих перевозки по местным, пригородным, внутригородским маршрутам);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4) 927,5 км реки Амур (для нефтеналивных судов);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5</w:t>
      </w:r>
      <w:r>
        <w:t>) 926 км реки Амур;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6) 923 - 924 км реки Амур.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8. В границах акватории речного порта Комсомольск-на-Амуре (580 - 555 км по лоцманской карте Нижнего Амура) должно быть расположено два рейда, обозначенных рейдовыми знаками: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1) рейд N 1 в районе 562 - 560 км </w:t>
      </w:r>
      <w:r>
        <w:t>по лоцманской карте Нижнего Амура у острова Менделеева должен быть предназначен для стоянки нефтеналивных судов;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2) рейд N 2 в районе 560 - 558 км по лоцманской карте Нижнего Амура у левого берега между островом Менделеева и дамбой затона грузового района </w:t>
      </w:r>
      <w:r>
        <w:t>Менделеево должен быть предназначен для стоянки сухогрузных судов и составов, прибывающих для формирования составов перед отправлением.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9. Движение судов на ВВП Амурского бассейна должно осуществляться вдоль речного пассажирского вокзала в Комсомольске-на-</w:t>
      </w:r>
      <w:r>
        <w:t>Амуре, расположенного на 569 - 570 км по лоцманской карте Нижнего Амура (левый судовой ход).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10. Движение судов на ВВП Амурского бассейна должно осуществляться под железнодорожным мостом, расположенным на 576 км по лоцманской карте Нижнего Амура.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lastRenderedPageBreak/>
        <w:t>11. Движе</w:t>
      </w:r>
      <w:r>
        <w:t>ние судов на ВВП Амурского бассейна должно осуществляться под ЛЭП 220 кВ, расположенной на 577 км по лоцманской карте Нижнего Амура.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12. В границах акватории речного порта Комсомольск-на-Амуре должны быть расположены следующие причалы: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1) причал на 558 км по лоцманской карте Нижнего Амура (левый берег);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2) причал на 556 км по лоцманской карте Нижнего Амура (левый берег);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3) пассажирские причалы (N N 1 - 3) речного вокзала Комсомольск-на-Амуре между 569 км и 570 км по лоцманской карте Ниж</w:t>
      </w:r>
      <w:r>
        <w:t>него Амура (левый судовой ход).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13. В границах акватории речного порта Благовещенск должно быть расположено четыре рейда, обозначенных рейдовыми знаками: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1) рейд N 1 должен быть расположен в районе 2,1 - 1,8 км по лоцманской карте Верхнего Амура у левого б</w:t>
      </w:r>
      <w:r>
        <w:t>ерега и должен быть предназначен для стоянки сухогрузных судов и составов (ширина - 100 м, протяженность - 300 м);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2) рейд N 2 должен быть расположен в районе 990,8 - 990,5 км по лоцманской карте Среднего Амура у левого берега и должен быть предназначен дл</w:t>
      </w:r>
      <w:r>
        <w:t>я стоянки сухогрузных судов и составов (ширина - 70 м, протяженность - 300 м);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3) рейд N 3 должен быть расположен в районе 991,0 - 990,7 км по лоцманской карте Среднего Амура у правого берега и должен быть предназначен для стоянки сухогрузных судов и соста</w:t>
      </w:r>
      <w:r>
        <w:t>вов (ширина - 70 м, протяженность - 300 м);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4) рейд N 4 должен быть расположен в районе 987,3 - 986,9 км по лоцманской карте Среднего Амура у левого берега и должен быть предназначен для стоянки сухогрузных судов и составов (ширина - 100 м, протяженность -</w:t>
      </w:r>
      <w:r>
        <w:t xml:space="preserve"> 400 м), нижняя часть рейда N 4 должна использоваться как карантинная стоянка.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14. На ВВП Амурского бассейна в границах города Благовещенск должны быть расположены следующие затоны и причалы: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1) затон Астрахановский - вход в затон на 8,4 км реки Зея;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2) за</w:t>
      </w:r>
      <w:r>
        <w:t>тон Чигиринский - вход в затон на 7,0 км реки Зея;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3) затон Бурхановский - вход в затон на 3,1 км реки Зея;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4) затон администрации бассейна внутренних водных путей - вход в затон на 1,6 км реки Зея;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5) затон имени Ленина - вход в затон на 990,0 км по лоцма</w:t>
      </w:r>
      <w:r>
        <w:t>нской карте Среднего Амура (нижняя часть затона должна быть предназначена для стоянки судов с разрядными грузами);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6) причал - подход к причалу на 6,0 км реки Зея;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7) причал - подход к причалу на 994,0 км по лоцманской карте Среднего Амура;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8) причалы N N </w:t>
      </w:r>
      <w:r>
        <w:t>1 - 6 - подход к причалам на 992,0 км по лоцманской карте Среднего Амура;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lastRenderedPageBreak/>
        <w:t>9) причал - подход к причалу на 991,9 км по лоцманской карте Среднего Амура;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10) причалы паромной переправы - подход к причалам на 991,8 км по лоцманской карте Среднего Амура;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11) пр</w:t>
      </w:r>
      <w:r>
        <w:t>ичал песчано-гравийных смесей - подход к причалу на 991,8 км по лоцманской карте Среднего Амура;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12) причалы N N 1 - 8 - подход к причалам на 991,8 - 990 км по лоцманской карте Среднего Амура.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15. Движение судов на ВВП Амурского бассейна должно осуществлят</w:t>
      </w:r>
      <w:r>
        <w:t>ься под автодорожными мостами, расположенными на 5,9 и на 2,9 км реки Зея и на 983,0 км по лоцманской карте Среднего Амура.</w:t>
      </w:r>
    </w:p>
    <w:p w:rsidR="00000000" w:rsidRDefault="00392169">
      <w:pPr>
        <w:pStyle w:val="ConsPlusNormal"/>
        <w:spacing w:before="240"/>
        <w:ind w:firstLine="540"/>
        <w:jc w:val="both"/>
      </w:pPr>
      <w:bookmarkStart w:id="3" w:name="Par89"/>
      <w:bookmarkEnd w:id="3"/>
      <w:r>
        <w:t>16. Движение судов на ВВП Амурского бассейна должно осуществляться под ЛЭП 110 кВ, расположенной на 5,1 км реки Зея.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17. Д</w:t>
      </w:r>
      <w:r>
        <w:t>вижение судов на ВВП Амурского бассейна должно осуществляться вдоль водовыпуска очистных сооружений города Благовещенск, расположенного на левом берегу полуострова Затонский на 989,7 км по лоцманской карте Среднего Амура.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18. В акваториях ВВП Амурского бас</w:t>
      </w:r>
      <w:r>
        <w:t>сейна в границах городов Благовещенск, Хабаровск и Комсомольск-на-Амуре допускается осуществлять обгон только одиночным судам по левому борту обгоняемого судна или состава, обгоняемое судно или состав должны уклониться вправо и убавить ход.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19. Для обеспеч</w:t>
      </w:r>
      <w:r>
        <w:t>ения безопасного отстоя несамоходных судов на рейдах судовладелец должен назначить (выделить) для круглосуточного дежурства судно (буксир-толкач) для осуществления буксировки несамоходных судов, расположенных на рейдах.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20. Судовладельцы должны предъявлять</w:t>
      </w:r>
      <w:r>
        <w:t xml:space="preserve"> к осмотру суда, в том числе маломерные, занимающиеся предпринимательской деятельностью, инспекциям государственного портового контроля &lt;2&gt; (далее - ИГПК) до их выхода в первый рейс, в том числе после зимнего отстоя.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2" w:tooltip="&quot;Кодекс внутреннего водного транспорта Российской Федерации&quot; от 07.03.2001 N 24-ФЗ (ред. от 08.08.2024) (с изм. и доп., вступ. в силу с 01.09.2024){КонсультантПлюс}" w:history="1">
        <w:r>
          <w:rPr>
            <w:color w:val="0000FF"/>
          </w:rPr>
          <w:t>Статья 38.1</w:t>
        </w:r>
      </w:hyperlink>
      <w:r>
        <w:t xml:space="preserve"> Кодекса внутреннего водного транспорта Российской Федерации.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ind w:firstLine="540"/>
        <w:jc w:val="both"/>
      </w:pPr>
      <w:r>
        <w:t xml:space="preserve">21. При движении судов, оборудованных радиолокационной станцией (далее - РЛС), в темное время суток в районах населенных пунктов, рейдов, мест скопления судов </w:t>
      </w:r>
      <w:r>
        <w:t>судоводители должны осуществлять постоянное наблюдение за судоходной обстановкой, в том числе с использованием РЛС в режиме "работа", с целью обнаружения эхо-сигнала судов, положение и движение которых может создать ситуацию аварийного сближения.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22. Суда </w:t>
      </w:r>
      <w:r>
        <w:t>при плавании по ВВП Амурского бассейна должны пройти государственный портовый контроль в ИГПК &lt;3&gt;.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3" w:tooltip="&quot;Кодекс внутреннего водного транспорта Российской Федерации&quot; от 07.03.2001 N 24-ФЗ (ред. от 08.08.2024) (с изм. и доп., вступ. в силу с 01.09.2024){КонсультантПлюс}" w:history="1">
        <w:r>
          <w:rPr>
            <w:color w:val="0000FF"/>
          </w:rPr>
          <w:t>Пункт 8 статьи 34</w:t>
        </w:r>
      </w:hyperlink>
      <w:r>
        <w:t xml:space="preserve">, </w:t>
      </w:r>
      <w:hyperlink r:id="rId14" w:tooltip="&quot;Кодекс внутреннего водного транспорта Российской Федерации&quot; от 07.03.2001 N 24-ФЗ (ред. от 08.08.2024) (с изм. и доп., вступ. в силу с 01.09.2024){КонсультантПлюс}" w:history="1">
        <w:r>
          <w:rPr>
            <w:color w:val="0000FF"/>
          </w:rPr>
          <w:t>пункт 3 статьи 38.1</w:t>
        </w:r>
      </w:hyperlink>
      <w:r>
        <w:t xml:space="preserve"> Кодекса внутреннего водного тран</w:t>
      </w:r>
      <w:r>
        <w:t>спорта Российской Федерации.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ind w:firstLine="540"/>
        <w:jc w:val="both"/>
      </w:pPr>
      <w:r>
        <w:t>23. На участках ВВП Амурского бассейна, расположенных на 828,0 км - 810,0 км по лоцманской карте Нижнего Амура и на 75,0 км до 60,0 км реки Зеи по лоцманской карте Нижнего Амура, осуществляются учения, маневрирование военных к</w:t>
      </w:r>
      <w:r>
        <w:t>ораблей, береговой охраны, включая артиллерийские стрельбы.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24. При заходе судов в затоны и при выходе судов из затонов, подходящих к судопропускным (водозащитным) сооружениям, судоводители должны информировать посредством радиосвязи в ультракоротком диапа</w:t>
      </w:r>
      <w:r>
        <w:t>зоне радиоволн (на вызывном канале) другие суда о заходе или выходе и принимать меры предосторожности для пропуска судов, уже занявших входной канал.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25. Суда на подводных крыльях при движении в водоизмещающем положении в темное время суток в дополнение к </w:t>
      </w:r>
      <w:r>
        <w:t>ходовым огням должны нести желтый проблесковый круговой огонь, расположенный выше топового.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26. На судах, прибывших из иностранных государств или убывающих в иностранные государства, а также на судах, находящихся на карантине, днем должен подниматься флаг </w:t>
      </w:r>
      <w:r>
        <w:t>"Q" (Кебек) Международного свода сигналов &lt;4&gt;, ночью в дополнение к стояночным огням должны подниматься два круговых огня - красный и ниже его белый.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5" w:tooltip="&quot;Международная конвенция по охране человеческой жизни на море 1974 года&quot; (СОЛАС/SOLAS) (Заключена в г. Лондоне 01.11.1974) (ред. от 10.11.2022){КонсультантПлюс}" w:history="1">
        <w:r>
          <w:rPr>
            <w:color w:val="0000FF"/>
          </w:rPr>
          <w:t>Правило 21 Главы V</w:t>
        </w:r>
      </w:hyperlink>
      <w:r>
        <w:t xml:space="preserve"> приложения к Международной ко</w:t>
      </w:r>
      <w:r>
        <w:t xml:space="preserve">нвенции по охране человеческой жизни на море от 11 ноября 1974 г. (является обязательной для Российской Федерации в соответствии с </w:t>
      </w:r>
      <w:hyperlink r:id="rId16" w:tooltip="Ссылка на КонсультантПлюс" w:history="1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Совета Министров СССР от 2 ноября 1979 г. N 975 "О принятии СССР Международной конвенции по охране человеческой жизни на море 1974 года", вступила в силу для СССР 2 ноября 1979 г.).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ind w:firstLine="540"/>
        <w:jc w:val="both"/>
      </w:pPr>
      <w:r>
        <w:t>27. Судно, осуществляющее лоцманскую проводку, в дневное время до</w:t>
      </w:r>
      <w:r>
        <w:t>лжно нести флажный сигнал "H" (Хотэл) Международного свода сигналов, в ночное время на рее должно нести дополнительные два круговых огня - белый и под ним красный.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28. На ВВП Амурского бассейна запрещается: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1) одновременное маневрирование (подход, отход, о</w:t>
      </w:r>
      <w:r>
        <w:t>жидание в дрейфе у причалов) у двух смежных причалов одного причального сооружения;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2) подход и швартовка к судам, несущим днем флаг "Q" (Кебек) Международного свода сигналов, ночью два круговых огня: красный и ниже его белый;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3) расхождение и обгон водоиз</w:t>
      </w:r>
      <w:r>
        <w:t>мещающих судов и составов в районах поворотных буев;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4) постановка на рейдах на один якорь более двух судов;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5) заход в акватории, отведенные для отдыха и купания, и остановка у берега в их пределах всех судов, в том числе катеров, гидроциклов и моторных л</w:t>
      </w:r>
      <w:r>
        <w:t>одок, за исключением спасательных судов;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6) использование водных лыж и парашютов, буксируемых судами, гидроциклов или иных плавучих средств в акваториях ВВП Амурского бассейна вне зон купания &lt;5&gt;, в заходах в затоны, а также в пределах 500 м выше и ниже мо</w:t>
      </w:r>
      <w:r>
        <w:t>стов;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7" w:tooltip="&quot;Водный кодекс Российской Федерации&quot; от 03.06.2006 N 74-ФЗ (ред. от 08.08.2024) (с изм. и доп., вступ. в силу с 01.01.2025){КонсультантПлюс}" w:history="1">
        <w:r>
          <w:rPr>
            <w:color w:val="0000FF"/>
          </w:rPr>
          <w:t>Пункт 2</w:t>
        </w:r>
      </w:hyperlink>
      <w:r>
        <w:t xml:space="preserve">, </w:t>
      </w:r>
      <w:hyperlink r:id="rId18" w:tooltip="&quot;Водный кодекс Российской Федерации&quot; от 03.06.2006 N 74-ФЗ (ред. от 08.08.2024) (с изм. и доп., вступ. в силу с 01.01.2025){КонсультантПлюс}" w:history="1">
        <w:r>
          <w:rPr>
            <w:color w:val="0000FF"/>
          </w:rPr>
          <w:t>подпункт 5 пункта 3 статьи 50</w:t>
        </w:r>
      </w:hyperlink>
      <w:r>
        <w:t xml:space="preserve"> Водного кодекса Российской Федерации.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ind w:firstLine="540"/>
        <w:jc w:val="both"/>
      </w:pPr>
      <w:r>
        <w:t>7) подход к пассажирским причалам и остановочным пунктам посадки-высадки пассажиров всех судов, за исключением пассажирских судов;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8) подход, швартовка и стоянка судов у причалов, выведенных из эксплуатации и обозначенных на местности аншлагами "Швартовка запрещена";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9) прохождение судов на воздушной подушке (далее - СПВ) и скоростных судов на подводных крыльях по подходным каналам пр</w:t>
      </w:r>
      <w:r>
        <w:t>ичалов, входам в затоны, движение и выход из затонов, в надводном положении;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10) движение СПВ при торошении льда, если высота торосов превышает высоту реального подъема судна над опорной поверхностью и обойти эти торосы невозможно;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11) движение по произвол</w:t>
      </w:r>
      <w:r>
        <w:t xml:space="preserve">ьным направлениям и трассам, выполнение оборотов, пересечений судовых ходов и постановка на якорь в местах, не указанных в </w:t>
      </w:r>
      <w:hyperlink w:anchor="Par39" w:tooltip="3. На ВВП Амурского бассейна в границах города Хабаровск должно быть расположено шесть рейдов, обозначенных рейдовыми знаками, и место якорной стоянки: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89" w:tooltip="16. Движение судов на ВВП Амурского бассейна должно осуществляться под ЛЭП 110 кВ, расположенной на 5,1 км реки Зея." w:history="1">
        <w:r>
          <w:rPr>
            <w:color w:val="0000FF"/>
          </w:rPr>
          <w:t>16</w:t>
        </w:r>
      </w:hyperlink>
      <w:r>
        <w:t xml:space="preserve"> настоящих Правил;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12) подача звуковых сигналов в ра</w:t>
      </w:r>
      <w:r>
        <w:t>йонах населенных пунктов, за исключением сигналов бедствия и сигналов для предотвращения аварийной ситуации;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13) расхождение и обгон в районах захода в затоны, отстойные пункты, Хабаровскую ремонтно-эксплуатационную базу флота на 1 км Амурской протоки;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14)</w:t>
      </w:r>
      <w:r>
        <w:t xml:space="preserve"> оставление несамоходных судов, находящихся без плавсостава, и плавучих объектов без швартовки;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15) движение в темное время суток по реке Аргунь &lt;6&gt;.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92169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9" w:tooltip="&quot;Соглашение между Правительством Российской Федерации и Правительством Китайской Народной Республики о режиме российско-китайской государственной границы&quot; (Вместе с &lt;Образцами актов о ремонте, восстановлении, невозможности восстановления на месте первоначальной установки, об установке разрушенного, перемещенного или утраченного пограничного знака на новом месте, приема-передачи корреспонденции, нарушителя, скота, домашней птицы, трупа(ов) человека, имущества&gt;, &lt;Образцами нот об уведомлении о выполнении поле{КонсультантПлюс}" w:history="1">
        <w:r>
          <w:rPr>
            <w:color w:val="0000FF"/>
          </w:rPr>
          <w:t>Пункт 1 статьи 9</w:t>
        </w:r>
      </w:hyperlink>
      <w:r>
        <w:t xml:space="preserve"> Соглашения между Правительством Российской Федерации и Правительством Китайской Народной Республики о режиме российско-китайской государственной границы от 9 ноября 2006 г. (вступило в силу для Российской Федерации 8 апреля 2007 г.).</w:t>
      </w:r>
    </w:p>
    <w:p w:rsidR="00000000" w:rsidRDefault="00392169">
      <w:pPr>
        <w:pStyle w:val="ConsPlusNormal"/>
        <w:jc w:val="both"/>
      </w:pPr>
    </w:p>
    <w:p w:rsidR="001F337B" w:rsidRDefault="001F337B">
      <w:pPr>
        <w:pStyle w:val="ConsPlusNormal"/>
        <w:jc w:val="right"/>
        <w:outlineLvl w:val="1"/>
      </w:pPr>
    </w:p>
    <w:p w:rsidR="001F337B" w:rsidRDefault="001F337B">
      <w:pPr>
        <w:pStyle w:val="ConsPlusNormal"/>
        <w:jc w:val="right"/>
        <w:outlineLvl w:val="1"/>
      </w:pPr>
    </w:p>
    <w:p w:rsidR="001F337B" w:rsidRDefault="001F337B">
      <w:pPr>
        <w:pStyle w:val="ConsPlusNormal"/>
        <w:jc w:val="right"/>
        <w:outlineLvl w:val="1"/>
      </w:pPr>
    </w:p>
    <w:p w:rsidR="00000000" w:rsidRDefault="00392169">
      <w:pPr>
        <w:pStyle w:val="ConsPlusNormal"/>
        <w:jc w:val="right"/>
        <w:outlineLvl w:val="1"/>
      </w:pPr>
      <w:r>
        <w:t>Приложение</w:t>
      </w:r>
    </w:p>
    <w:p w:rsidR="00000000" w:rsidRDefault="00392169">
      <w:pPr>
        <w:pStyle w:val="ConsPlusNormal"/>
        <w:jc w:val="right"/>
      </w:pPr>
      <w:r>
        <w:t>к Пра</w:t>
      </w:r>
      <w:r>
        <w:t>вилам движения</w:t>
      </w:r>
    </w:p>
    <w:p w:rsidR="00000000" w:rsidRDefault="00392169">
      <w:pPr>
        <w:pStyle w:val="ConsPlusNormal"/>
        <w:jc w:val="right"/>
      </w:pPr>
      <w:r>
        <w:t>и стоянки судов в Амурском</w:t>
      </w:r>
    </w:p>
    <w:p w:rsidR="00000000" w:rsidRDefault="00392169">
      <w:pPr>
        <w:pStyle w:val="ConsPlusNormal"/>
        <w:jc w:val="right"/>
      </w:pPr>
      <w:r>
        <w:t>бассейне внутренних водных</w:t>
      </w:r>
    </w:p>
    <w:p w:rsidR="00000000" w:rsidRDefault="00392169">
      <w:pPr>
        <w:pStyle w:val="ConsPlusNormal"/>
        <w:jc w:val="right"/>
      </w:pPr>
      <w:r>
        <w:t>путей Российской Федерации,</w:t>
      </w:r>
    </w:p>
    <w:p w:rsidR="00000000" w:rsidRDefault="00392169">
      <w:pPr>
        <w:pStyle w:val="ConsPlusNormal"/>
        <w:jc w:val="right"/>
      </w:pPr>
      <w:r>
        <w:t>утвержденным приказом</w:t>
      </w:r>
    </w:p>
    <w:p w:rsidR="00000000" w:rsidRDefault="00392169">
      <w:pPr>
        <w:pStyle w:val="ConsPlusNormal"/>
        <w:jc w:val="right"/>
      </w:pPr>
      <w:r>
        <w:t>Минтранса России</w:t>
      </w:r>
    </w:p>
    <w:p w:rsidR="00000000" w:rsidRDefault="00392169">
      <w:pPr>
        <w:pStyle w:val="ConsPlusNormal"/>
        <w:jc w:val="right"/>
      </w:pPr>
      <w:r>
        <w:t>от 23 мая 2024 г. N 182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Title"/>
        <w:jc w:val="center"/>
      </w:pPr>
      <w:bookmarkStart w:id="4" w:name="Par145"/>
      <w:bookmarkEnd w:id="4"/>
      <w:r>
        <w:t>ТИПОВЫЕ СХЕМЫ ФОРМИРОВАНИЯ СОСТАВОВ</w:t>
      </w:r>
    </w:p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98"/>
        <w:gridCol w:w="794"/>
        <w:gridCol w:w="907"/>
        <w:gridCol w:w="681"/>
        <w:gridCol w:w="794"/>
        <w:gridCol w:w="680"/>
        <w:gridCol w:w="1800"/>
        <w:gridCol w:w="2551"/>
        <w:gridCol w:w="2098"/>
      </w:tblGrid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t>Наименование участка внутренних водных путей Российской Федерации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t>Протяженность участка, км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t>Минимально допустимая мощность буксира (толкача), кВт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t>Максимальная грузоподъемность состава, тонн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t>Разрешенная габаритная длина состава, 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t>Разрешенная габаритная ширина состава, м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t>Типовая схема формирования состава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t>Допустимые условия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  <w:r>
              <w:t>Применяемые обозначения: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0482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- буксир (толкач)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914400" cy="333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- буксируемый толкаемый объект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942975" cy="314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- самоходное судно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13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outlineLvl w:val="2"/>
            </w:pPr>
            <w:r>
              <w:t>1. Река Амур (2819 - 1924 км) (Верхний Амур)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 (2819 - 1924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11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1724025" cy="361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96.8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14.4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(2819 - 1924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96.8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27.7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5"/>
              </w:rPr>
              <w:drawing>
                <wp:inline distT="0" distB="0" distL="0" distR="0">
                  <wp:extent cx="1695450" cy="609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(2819 - 1924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jc w:val="both"/>
            </w:pPr>
            <w:r>
              <w:t>45.4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13.9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7"/>
              </w:rPr>
              <w:drawing>
                <wp:inline distT="0" distB="0" distL="0" distR="0">
                  <wp:extent cx="1133475" cy="6286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  <w:r>
              <w:t>70.2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21.2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(2819 - 1924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78.4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22.8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7"/>
              </w:rPr>
              <w:drawing>
                <wp:inline distT="0" distB="0" distL="0" distR="0">
                  <wp:extent cx="1133475" cy="6286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плавкрана (при условии обеспечения кругового обзора).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13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outlineLvl w:val="2"/>
            </w:pPr>
            <w:r>
              <w:t>2. Река Амур (1924 - 1 км) (Средний Амур, Нижний Амур)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lastRenderedPageBreak/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lastRenderedPageBreak/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62.7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10.2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1724025" cy="5524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 xml:space="preserve">Схема буксировки </w:t>
            </w:r>
            <w:r>
              <w:lastRenderedPageBreak/>
              <w:t>сухогрузных и нефтеналивных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103.1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14.2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404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83.8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12.9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135.7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510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104.8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588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135.7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1471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148.2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55.7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16.5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44"/>
              </w:rPr>
              <w:drawing>
                <wp:inline distT="0" distB="0" distL="0" distR="0">
                  <wp:extent cx="1543050" cy="723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сухогрузных или нефтеналивных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91.9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23.4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96.8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24.7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404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1200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83.8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25.9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109.8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28.4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588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126.6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1471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148.2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7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117.4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10.3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2476500" cy="361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сухогрузных барж.</w:t>
            </w:r>
          </w:p>
          <w:p w:rsidR="00000000" w:rsidRDefault="00392169">
            <w:pPr>
              <w:pStyle w:val="ConsPlusNormal"/>
            </w:pPr>
            <w:r>
              <w:t>Вверх, вниз (нефтеналивных только вверх)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142.2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14.4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404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1200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144.6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12.9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238.4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588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246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1471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217.5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lastRenderedPageBreak/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lastRenderedPageBreak/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117.7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18.3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41"/>
              </w:rPr>
              <w:drawing>
                <wp:inline distT="0" distB="0" distL="0" distR="0">
                  <wp:extent cx="2505075" cy="6762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 xml:space="preserve">Схема буксировки </w:t>
            </w:r>
            <w:r>
              <w:lastRenderedPageBreak/>
              <w:t>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137.3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23.7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213.7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31.9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588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212.6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1471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9000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217.5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9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103.4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14.2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1943100" cy="3619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 (без учета длины буксира).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103.4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14.2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135.7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404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83.8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12.9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510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104.8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19.4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588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135.7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1471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148.2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588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jc w:val="both"/>
            </w:pPr>
            <w:r>
              <w:t>212.6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jc w:val="both"/>
            </w:pPr>
            <w:r>
              <w:t>17.5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2686050" cy="361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 (без учета длины буксирного троса).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1471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  <w:r>
              <w:t>217.5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jc w:val="both"/>
            </w:pPr>
            <w:r>
              <w:t>588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126.6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35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7"/>
              </w:rPr>
              <w:drawing>
                <wp:inline distT="0" distB="0" distL="0" distR="0">
                  <wp:extent cx="2686050" cy="6381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 проекта N Р29 (без учета длины буксирного троса).</w:t>
            </w:r>
          </w:p>
          <w:p w:rsidR="00000000" w:rsidRDefault="00392169">
            <w:pPr>
              <w:pStyle w:val="ConsPlusNormal"/>
            </w:pPr>
            <w:r>
              <w:t>Вверх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  <w:r>
              <w:t>1471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131.5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35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1471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217.5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2686050" cy="552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 xml:space="preserve">Схема буксировки барж проекта N Р29 порожнем (без учета длины </w:t>
            </w:r>
            <w:r>
              <w:lastRenderedPageBreak/>
              <w:t>буксирного троса).</w:t>
            </w:r>
          </w:p>
          <w:p w:rsidR="00000000" w:rsidRDefault="00392169">
            <w:pPr>
              <w:pStyle w:val="ConsPlusNormal"/>
            </w:pPr>
            <w:r>
              <w:t>Только вверх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jc w:val="both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65.7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19.7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4"/>
              </w:rPr>
              <w:drawing>
                <wp:inline distT="0" distB="0" distL="0" distR="0">
                  <wp:extent cx="1314450" cy="5905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Схема буксировки баржи (для теплоходов проектов 765, 912А).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  <w:r>
              <w:t>330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300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65.7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19.4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jc w:val="both"/>
            </w:pPr>
            <w:r>
              <w:t>1 - 441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3000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162.3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32.4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74"/>
              </w:rPr>
              <w:drawing>
                <wp:inline distT="0" distB="0" distL="0" distR="0">
                  <wp:extent cx="2590800" cy="10953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Схема буксировки земснаряда (3) под бортом баржи (4) (без учета длины буксирного троса).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  <w:r>
              <w:t>2 - 330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1 - 220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51"/>
              </w:rPr>
              <w:drawing>
                <wp:inline distT="0" distB="0" distL="0" distR="0">
                  <wp:extent cx="2657475" cy="8096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плавкрана (без учета длины буксирного троса).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2 - 330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135.7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33.5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46"/>
              </w:rPr>
              <w:drawing>
                <wp:inline distT="0" distB="0" distL="0" distR="0">
                  <wp:extent cx="1685925" cy="7429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Схема буксировки плавкрана (2) и баржи (1) (при условии обеспечения кругового обзора).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66.4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10.3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>
                  <wp:extent cx="2028825" cy="3905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</w:t>
            </w:r>
          </w:p>
          <w:p w:rsidR="00000000" w:rsidRDefault="00392169">
            <w:pPr>
              <w:pStyle w:val="ConsPlusNormal"/>
            </w:pPr>
            <w:r>
              <w:t>(без учета длины буксирного троса).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231.6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101.4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14.3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>
                  <wp:extent cx="2028825" cy="3905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 (без учета длины буксирного троса).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1 - 110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97.8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16.5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46"/>
              </w:rPr>
              <w:drawing>
                <wp:inline distT="0" distB="0" distL="0" distR="0">
                  <wp:extent cx="2686050" cy="7334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 (без учета длины буксирного троса).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2 - 110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(1753 - 1 км, п. Поярково - Николаевск - на - Амуре)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1753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72.3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31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60"/>
              </w:rPr>
              <w:drawing>
                <wp:inline distT="0" distB="0" distL="0" distR="0">
                  <wp:extent cx="1533525" cy="9144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91.9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33.7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135.7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52.5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588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143.3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52.5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(1753 - 1 км, п. Поярково - Николаевск - на - Амуре)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1753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1471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217.5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>
                  <wp:extent cx="2466975" cy="6953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Амур</w:t>
            </w:r>
          </w:p>
          <w:p w:rsidR="00000000" w:rsidRDefault="00392169">
            <w:pPr>
              <w:pStyle w:val="ConsPlusNormal"/>
            </w:pPr>
            <w:r>
              <w:t>(1924 - 1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1924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79.83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14.82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1924050" cy="3619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Схема буксировки земснаряда, землесоса (без учета длины буксира).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  <w:r>
              <w:t>48.6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12.3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13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outlineLvl w:val="2"/>
            </w:pPr>
            <w:r>
              <w:t>3. Река Аргунь (с. Олочи, 428 км - устье (р. Амур) пос. Усть-Стрелка)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Аргунь</w:t>
            </w:r>
          </w:p>
          <w:p w:rsidR="00000000" w:rsidRDefault="00392169">
            <w:pPr>
              <w:pStyle w:val="ConsPlusNormal"/>
            </w:pPr>
            <w:r>
              <w:t>(428 - 0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55.7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1657350" cy="3619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13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outlineLvl w:val="2"/>
            </w:pPr>
            <w:r>
              <w:lastRenderedPageBreak/>
              <w:t>4. Река Зея (г. Зея, 650 км - устье (р. Амур))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Зея</w:t>
            </w:r>
          </w:p>
          <w:p w:rsidR="00000000" w:rsidRDefault="00392169">
            <w:pPr>
              <w:pStyle w:val="ConsPlusNormal"/>
            </w:pPr>
            <w:r>
              <w:t>(г. Зея, 650 - 0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103.2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14.4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2047875" cy="3143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 (без учета длины буксирного троса).</w:t>
            </w:r>
          </w:p>
          <w:p w:rsidR="00000000" w:rsidRDefault="00392169">
            <w:pPr>
              <w:pStyle w:val="ConsPlusNormal"/>
            </w:pPr>
            <w:r>
              <w:t>Вниз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Зея</w:t>
            </w:r>
          </w:p>
          <w:p w:rsidR="00000000" w:rsidRDefault="00392169">
            <w:pPr>
              <w:pStyle w:val="ConsPlusNormal"/>
            </w:pPr>
            <w:r>
              <w:t>(г. Зея, 650 - 0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103.2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28.8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5"/>
              </w:rPr>
              <w:drawing>
                <wp:inline distT="0" distB="0" distL="0" distR="0">
                  <wp:extent cx="2371725" cy="6096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 (без учета длины буксирного троса). Вниз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Зея</w:t>
            </w:r>
          </w:p>
          <w:p w:rsidR="00000000" w:rsidRDefault="00392169">
            <w:pPr>
              <w:pStyle w:val="ConsPlusNormal"/>
            </w:pPr>
            <w:r>
              <w:t>(г. Зея, 650 - 0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71.3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8.5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1685925" cy="3619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103.2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14.4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Зея</w:t>
            </w:r>
          </w:p>
          <w:p w:rsidR="00000000" w:rsidRDefault="00392169">
            <w:pPr>
              <w:pStyle w:val="ConsPlusNormal"/>
            </w:pPr>
            <w:r>
              <w:t>(г. Зея, 650 - 0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38.4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15.1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7"/>
              </w:rPr>
              <w:drawing>
                <wp:inline distT="0" distB="0" distL="0" distR="0">
                  <wp:extent cx="1152525" cy="6381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70.2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22.7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Зея</w:t>
            </w:r>
          </w:p>
          <w:p w:rsidR="00000000" w:rsidRDefault="00392169">
            <w:pPr>
              <w:pStyle w:val="ConsPlusNormal"/>
            </w:pPr>
            <w:r>
              <w:t>(п. Березовка, 593 - 0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8.5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2571750" cy="3619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2000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173.4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14.4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Зея</w:t>
            </w:r>
          </w:p>
          <w:p w:rsidR="00000000" w:rsidRDefault="00392169">
            <w:pPr>
              <w:pStyle w:val="ConsPlusNormal"/>
            </w:pPr>
            <w:r>
              <w:t>(п. Березовка, 593 - 0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161.5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24.5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5"/>
              </w:rPr>
              <w:drawing>
                <wp:inline distT="0" distB="0" distL="0" distR="0">
                  <wp:extent cx="2590800" cy="609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Зея</w:t>
            </w:r>
          </w:p>
          <w:p w:rsidR="00000000" w:rsidRDefault="00392169">
            <w:pPr>
              <w:pStyle w:val="ConsPlusNormal"/>
            </w:pPr>
            <w:r>
              <w:t>(пр. Чагоян, 374 - 0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103.2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28.8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4"/>
              </w:rPr>
              <w:drawing>
                <wp:inline distT="0" distB="0" distL="0" distR="0">
                  <wp:extent cx="1685925" cy="5905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Вниз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Зея, Зейское водохранилище</w:t>
            </w:r>
          </w:p>
          <w:p w:rsidR="00000000" w:rsidRDefault="00392169">
            <w:pPr>
              <w:pStyle w:val="ConsPlusNormal"/>
            </w:pPr>
            <w:r>
              <w:t>(п. Зейск, 188 км - Зейская ГЭС)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7"/>
              </w:rPr>
              <w:drawing>
                <wp:inline distT="0" distB="0" distL="0" distR="0">
                  <wp:extent cx="1152525" cy="6286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Зея, Зейское водохранилище</w:t>
            </w:r>
          </w:p>
          <w:p w:rsidR="00000000" w:rsidRDefault="00392169">
            <w:pPr>
              <w:pStyle w:val="ConsPlusNormal"/>
            </w:pPr>
            <w:r>
              <w:t>(п. Горный, 167 км - Зейская ГЭС)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>
                  <wp:extent cx="1924050" cy="37147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Река Зея, Зейское водох</w:t>
            </w:r>
            <w:r>
              <w:t>ранилище</w:t>
            </w:r>
          </w:p>
          <w:p w:rsidR="00000000" w:rsidRDefault="00392169">
            <w:pPr>
              <w:pStyle w:val="ConsPlusNormal"/>
            </w:pPr>
            <w:r>
              <w:t>(п. Горный - п. Зейск)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 x 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2686050" cy="3619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13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outlineLvl w:val="2"/>
            </w:pPr>
            <w:r>
              <w:t>5. Река Уссури (455 км - устье (р. Амур))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Уссури</w:t>
            </w:r>
          </w:p>
          <w:p w:rsidR="00000000" w:rsidRDefault="00392169">
            <w:pPr>
              <w:pStyle w:val="ConsPlusNormal"/>
            </w:pPr>
            <w:r>
              <w:t>(455 км - пр. Покровка, 231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59.4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8.3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2019300" cy="3619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Уссури</w:t>
            </w:r>
          </w:p>
          <w:p w:rsidR="00000000" w:rsidRDefault="00392169">
            <w:pPr>
              <w:pStyle w:val="ConsPlusNormal"/>
            </w:pPr>
            <w:r>
              <w:t>(455 км - пр. Покровка, 231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38.4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12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4"/>
              </w:rPr>
              <w:drawing>
                <wp:inline distT="0" distB="0" distL="0" distR="0">
                  <wp:extent cx="971550" cy="5905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Уссури</w:t>
            </w:r>
          </w:p>
          <w:p w:rsidR="00000000" w:rsidRDefault="00392169">
            <w:pPr>
              <w:pStyle w:val="ConsPlusNormal"/>
            </w:pPr>
            <w:r>
              <w:t>(пр. Покровка, 231 - 0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96.8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14.4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1524000" cy="3619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103.2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14.4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Уссури</w:t>
            </w:r>
          </w:p>
          <w:p w:rsidR="00000000" w:rsidRDefault="00392169">
            <w:pPr>
              <w:pStyle w:val="ConsPlusNormal"/>
            </w:pPr>
            <w:r>
              <w:t>(пр. Покровка, 231 - 0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103.2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28.8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5"/>
              </w:rPr>
              <w:drawing>
                <wp:inline distT="0" distB="0" distL="0" distR="0">
                  <wp:extent cx="1695450" cy="609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Уссури</w:t>
            </w:r>
          </w:p>
          <w:p w:rsidR="00000000" w:rsidRDefault="00392169">
            <w:pPr>
              <w:pStyle w:val="ConsPlusNormal"/>
            </w:pPr>
            <w:r>
              <w:lastRenderedPageBreak/>
              <w:t>(пр. Покровка, 231 - 0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lastRenderedPageBreak/>
              <w:t>231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96.8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30.4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76"/>
              </w:rPr>
              <w:drawing>
                <wp:inline distT="0" distB="0" distL="0" distR="0">
                  <wp:extent cx="1533525" cy="11239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 xml:space="preserve">Схема буксировки </w:t>
            </w:r>
            <w:r>
              <w:lastRenderedPageBreak/>
              <w:t>плавкрана (2) и баржи (1) (при условии обеспечения кругового обзора).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103.2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30.4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13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outlineLvl w:val="2"/>
            </w:pPr>
            <w:r>
              <w:lastRenderedPageBreak/>
              <w:t>6. Протока Амурская (с. Казакевичево, 40 км - р. Амур, 930 км)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Протока Амурская</w:t>
            </w:r>
          </w:p>
          <w:p w:rsidR="00000000" w:rsidRDefault="00392169">
            <w:pPr>
              <w:pStyle w:val="ConsPlusNormal"/>
              <w:jc w:val="both"/>
            </w:pPr>
            <w:r>
              <w:t>(40 - 0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1 - 220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16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48"/>
              </w:rPr>
              <w:drawing>
                <wp:inline distT="0" distB="0" distL="0" distR="0">
                  <wp:extent cx="2324100" cy="77152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плавкрана (без учета длины буксирного троса).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  <w:r>
              <w:t>2 - 220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Протока Амурская</w:t>
            </w:r>
          </w:p>
          <w:p w:rsidR="00000000" w:rsidRDefault="00392169">
            <w:pPr>
              <w:pStyle w:val="ConsPlusNormal"/>
              <w:jc w:val="both"/>
            </w:pPr>
            <w:r>
              <w:t>(40 - 0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103.1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14.2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>
                  <wp:extent cx="1838325" cy="44767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103.1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14.2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135.7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588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3500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135.7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17.5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  <w:jc w:val="both"/>
            </w:pPr>
            <w:r>
              <w:t>Протока Амурская</w:t>
            </w:r>
          </w:p>
          <w:p w:rsidR="00000000" w:rsidRDefault="00392169">
            <w:pPr>
              <w:pStyle w:val="ConsPlusNormal"/>
              <w:jc w:val="both"/>
            </w:pPr>
            <w:r>
              <w:t>(40 - 0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1 - 1500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109.8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30.2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75"/>
              </w:rPr>
              <w:drawing>
                <wp:inline distT="0" distB="0" distL="0" distR="0">
                  <wp:extent cx="2686050" cy="11049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</w:pPr>
            <w:r>
              <w:t>Схема буксировки плавкрана (2) и баржи (1) (при условии обеспечения кругового обзора).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jc w:val="both"/>
            </w:pPr>
            <w:r>
              <w:t>Протока Амурская</w:t>
            </w:r>
          </w:p>
          <w:p w:rsidR="00000000" w:rsidRDefault="00392169">
            <w:pPr>
              <w:pStyle w:val="ConsPlusNormal"/>
              <w:jc w:val="both"/>
            </w:pPr>
            <w:r>
              <w:t>(11 - 0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588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109.8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28.4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41"/>
              </w:rPr>
              <w:drawing>
                <wp:inline distT="0" distB="0" distL="0" distR="0">
                  <wp:extent cx="1562100" cy="67627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13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  <w:outlineLvl w:val="2"/>
            </w:pPr>
            <w:r>
              <w:t>7. Тунгуска (90 км - устье р. Амур)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Тунгуска</w:t>
            </w:r>
          </w:p>
          <w:p w:rsidR="00000000" w:rsidRDefault="00392169">
            <w:pPr>
              <w:pStyle w:val="ConsPlusNormal"/>
            </w:pPr>
            <w:r>
              <w:t>(Николаевка, 25 - 0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55.7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8.3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504950" cy="33337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96.8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103.2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Тунгуска</w:t>
            </w:r>
          </w:p>
          <w:p w:rsidR="00000000" w:rsidRDefault="00392169">
            <w:pPr>
              <w:pStyle w:val="ConsPlusNormal"/>
            </w:pPr>
            <w:r>
              <w:t>(Николаевка, 25 - 0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38.4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12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5"/>
              </w:rPr>
              <w:drawing>
                <wp:inline distT="0" distB="0" distL="0" distR="0">
                  <wp:extent cx="1009650" cy="6096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63.5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21.2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63.5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21.2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13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92169">
            <w:pPr>
              <w:pStyle w:val="ConsPlusNormal"/>
              <w:outlineLvl w:val="2"/>
            </w:pPr>
            <w:r>
              <w:t>8. Река Амгунь (81 км - устье (р. Амур)</w:t>
            </w:r>
          </w:p>
        </w:tc>
      </w:tr>
      <w:tr w:rsidR="000000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Амгунь</w:t>
            </w:r>
          </w:p>
          <w:p w:rsidR="00000000" w:rsidRDefault="00392169">
            <w:pPr>
              <w:pStyle w:val="ConsPlusNormal"/>
            </w:pPr>
            <w:r>
              <w:t>(81 - 0 км)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55.7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8.3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27"/>
              </w:rPr>
              <w:drawing>
                <wp:inline distT="0" distB="0" distL="0" distR="0">
                  <wp:extent cx="1847850" cy="50482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70.2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14.4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441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113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510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2000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104.8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19.4</w:t>
            </w: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2169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Амгунь</w:t>
            </w:r>
          </w:p>
          <w:p w:rsidR="00000000" w:rsidRDefault="00392169">
            <w:pPr>
              <w:pStyle w:val="ConsPlusNormal"/>
            </w:pPr>
            <w:r>
              <w:t>(81 - 0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1200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84.9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26.6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44"/>
              </w:rPr>
              <w:drawing>
                <wp:inline distT="0" distB="0" distL="0" distR="0">
                  <wp:extent cx="1562100" cy="723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Река Амгунь</w:t>
            </w:r>
          </w:p>
          <w:p w:rsidR="00000000" w:rsidRDefault="00392169">
            <w:pPr>
              <w:pStyle w:val="ConsPlusNormal"/>
            </w:pPr>
            <w:r>
              <w:t>(81 - 0 км)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330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23.6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337B">
            <w:pPr>
              <w:pStyle w:val="ConsPlusNormal"/>
              <w:jc w:val="center"/>
            </w:pPr>
            <w:r>
              <w:rPr>
                <w:noProof/>
                <w:position w:val="-37"/>
              </w:rPr>
              <w:drawing>
                <wp:inline distT="0" distB="0" distL="0" distR="0">
                  <wp:extent cx="1343025" cy="62865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92169">
            <w:pPr>
              <w:pStyle w:val="ConsPlusNormal"/>
            </w:pPr>
            <w:r>
              <w:t>Схема буксировки баржи (для теплоходов проектов 765, 912А).</w:t>
            </w:r>
          </w:p>
          <w:p w:rsidR="00000000" w:rsidRDefault="00392169">
            <w:pPr>
              <w:pStyle w:val="ConsPlusNormal"/>
            </w:pPr>
            <w:r>
              <w:t>Вверх, вниз</w:t>
            </w:r>
          </w:p>
        </w:tc>
      </w:tr>
    </w:tbl>
    <w:p w:rsidR="00000000" w:rsidRDefault="00392169">
      <w:pPr>
        <w:pStyle w:val="ConsPlusNormal"/>
        <w:jc w:val="both"/>
      </w:pPr>
    </w:p>
    <w:p w:rsidR="00000000" w:rsidRDefault="00392169">
      <w:pPr>
        <w:pStyle w:val="ConsPlusNormal"/>
        <w:jc w:val="both"/>
      </w:pPr>
    </w:p>
    <w:p w:rsidR="00392169" w:rsidRDefault="003921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2169">
      <w:headerReference w:type="default" r:id="rId68"/>
      <w:footerReference w:type="default" r:id="rId69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69" w:rsidRDefault="00392169">
      <w:pPr>
        <w:spacing w:after="0" w:line="240" w:lineRule="auto"/>
      </w:pPr>
      <w:r>
        <w:separator/>
      </w:r>
    </w:p>
  </w:endnote>
  <w:endnote w:type="continuationSeparator" w:id="0">
    <w:p w:rsidR="00392169" w:rsidRDefault="0039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21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69" w:rsidRDefault="00392169">
      <w:pPr>
        <w:spacing w:after="0" w:line="240" w:lineRule="auto"/>
      </w:pPr>
      <w:r>
        <w:separator/>
      </w:r>
    </w:p>
  </w:footnote>
  <w:footnote w:type="continuationSeparator" w:id="0">
    <w:p w:rsidR="00392169" w:rsidRDefault="0039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216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7B"/>
    <w:rsid w:val="001F337B"/>
    <w:rsid w:val="003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37B"/>
  </w:style>
  <w:style w:type="paragraph" w:styleId="a5">
    <w:name w:val="footer"/>
    <w:basedOn w:val="a"/>
    <w:link w:val="a6"/>
    <w:uiPriority w:val="99"/>
    <w:unhideWhenUsed/>
    <w:rsid w:val="001F3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3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37B"/>
  </w:style>
  <w:style w:type="paragraph" w:styleId="a5">
    <w:name w:val="footer"/>
    <w:basedOn w:val="a"/>
    <w:link w:val="a6"/>
    <w:uiPriority w:val="99"/>
    <w:unhideWhenUsed/>
    <w:rsid w:val="001F3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970&amp;date=16.01.2025&amp;dst=167&amp;field=134" TargetMode="External"/><Relationship Id="rId18" Type="http://schemas.openxmlformats.org/officeDocument/2006/relationships/hyperlink" Target="https://login.consultant.ru/link/?req=doc&amp;base=LAW&amp;n=479744&amp;date=16.01.2025&amp;dst=384&amp;field=134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20.png"/><Relationship Id="rId21" Type="http://schemas.openxmlformats.org/officeDocument/2006/relationships/image" Target="media/image2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image" Target="media/image36.png"/><Relationship Id="rId63" Type="http://schemas.openxmlformats.org/officeDocument/2006/relationships/image" Target="media/image44.png"/><Relationship Id="rId68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62970&amp;date=16.01.2025&amp;dst=393&amp;field=13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ESU&amp;n=21174&amp;date=16.01.2025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1405&amp;date=16.01.2025&amp;dst=100007&amp;field=134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INT&amp;n=65877&amp;date=16.01.2025&amp;dst=116082&amp;field=134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38.png"/><Relationship Id="rId61" Type="http://schemas.openxmlformats.org/officeDocument/2006/relationships/image" Target="media/image42.png"/><Relationship Id="rId10" Type="http://schemas.openxmlformats.org/officeDocument/2006/relationships/hyperlink" Target="https://login.consultant.ru/link/?req=doc&amp;base=LAW&amp;n=391405&amp;date=16.01.2025&amp;dst=100096&amp;field=134" TargetMode="External"/><Relationship Id="rId19" Type="http://schemas.openxmlformats.org/officeDocument/2006/relationships/hyperlink" Target="https://login.consultant.ru/link/?req=doc&amp;base=INT&amp;n=37518&amp;date=16.01.2025&amp;dst=100083&amp;field=134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456&amp;date=16.01.2025&amp;dst=100243&amp;field=134" TargetMode="External"/><Relationship Id="rId14" Type="http://schemas.openxmlformats.org/officeDocument/2006/relationships/hyperlink" Target="https://login.consultant.ru/link/?req=doc&amp;base=LAW&amp;n=462970&amp;date=16.01.2025&amp;dst=101191&amp;field=134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80456&amp;date=16.01.2025&amp;dst=86&amp;field=134" TargetMode="External"/><Relationship Id="rId51" Type="http://schemas.openxmlformats.org/officeDocument/2006/relationships/image" Target="media/image32.png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2970&amp;date=16.01.2025&amp;dst=169&amp;field=134" TargetMode="External"/><Relationship Id="rId17" Type="http://schemas.openxmlformats.org/officeDocument/2006/relationships/hyperlink" Target="https://login.consultant.ru/link/?req=doc&amp;base=LAW&amp;n=479744&amp;date=16.01.2025&amp;dst=378&amp;field=134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40.png"/><Relationship Id="rId67" Type="http://schemas.openxmlformats.org/officeDocument/2006/relationships/image" Target="media/image48.png"/><Relationship Id="rId20" Type="http://schemas.openxmlformats.org/officeDocument/2006/relationships/image" Target="media/image1.png"/><Relationship Id="rId41" Type="http://schemas.openxmlformats.org/officeDocument/2006/relationships/image" Target="media/image22.png"/><Relationship Id="rId54" Type="http://schemas.openxmlformats.org/officeDocument/2006/relationships/image" Target="media/image35.png"/><Relationship Id="rId62" Type="http://schemas.openxmlformats.org/officeDocument/2006/relationships/image" Target="media/image43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4283</Words>
  <Characters>24415</Characters>
  <Application>Microsoft Office Word</Application>
  <DocSecurity>2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23.05.2024 N 182"Об утверждении Правил движения и стоянки судов в Амурском бассейне внутренних водных путей Российской Федерации"(Зарегистрировано в Минюсте России 12.09.2024 N 79444)</vt:lpstr>
    </vt:vector>
  </TitlesOfParts>
  <Company>КонсультантПлюс Версия 4024.00.30</Company>
  <LinksUpToDate>false</LinksUpToDate>
  <CharactersWithSpaces>28641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23.05.2024 N 182"Об утверждении Правил движения и стоянки судов в Амурском бассейне внутренних водных путей Российской Федерации"(Зарегистрировано в Минюсте России 12.09.2024 N 79444)</dc:title>
  <dc:creator>Васильев Алексей Николаевич</dc:creator>
  <cp:lastModifiedBy>Васильев Алексей Николаевич</cp:lastModifiedBy>
  <cp:revision>2</cp:revision>
  <dcterms:created xsi:type="dcterms:W3CDTF">2025-01-16T08:39:00Z</dcterms:created>
  <dcterms:modified xsi:type="dcterms:W3CDTF">2025-01-16T08:39:00Z</dcterms:modified>
</cp:coreProperties>
</file>